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E85E" w14:textId="77777777" w:rsidR="00C31436" w:rsidRDefault="008D2C29">
      <w:pPr>
        <w:rPr>
          <w:rFonts w:ascii="Arial" w:eastAsia="Arial" w:hAnsi="Arial" w:cs="Arial"/>
          <w:b/>
          <w:sz w:val="36"/>
          <w:szCs w:val="36"/>
        </w:rPr>
      </w:pPr>
      <w:r>
        <w:rPr>
          <w:rFonts w:ascii="Arial" w:eastAsia="Arial" w:hAnsi="Arial" w:cs="Arial"/>
          <w:b/>
          <w:sz w:val="36"/>
          <w:szCs w:val="36"/>
        </w:rPr>
        <w:t xml:space="preserve">Schedule </w:t>
      </w:r>
      <w:bookmarkStart w:id="0" w:name="Schedule_3"/>
      <w:r>
        <w:rPr>
          <w:rFonts w:ascii="Arial" w:eastAsia="Arial" w:hAnsi="Arial" w:cs="Arial"/>
          <w:b/>
          <w:sz w:val="36"/>
          <w:szCs w:val="36"/>
        </w:rPr>
        <w:t>3</w:t>
      </w:r>
      <w:bookmarkEnd w:id="0"/>
      <w:r>
        <w:rPr>
          <w:rFonts w:ascii="Arial" w:eastAsia="Arial" w:hAnsi="Arial" w:cs="Arial"/>
          <w:b/>
          <w:sz w:val="36"/>
          <w:szCs w:val="36"/>
        </w:rPr>
        <w:t xml:space="preserve"> (</w:t>
      </w:r>
      <w:bookmarkStart w:id="1" w:name="Schedule_3_Description"/>
      <w:r>
        <w:rPr>
          <w:rFonts w:ascii="Arial" w:eastAsia="Arial" w:hAnsi="Arial" w:cs="Arial"/>
          <w:b/>
          <w:sz w:val="36"/>
          <w:szCs w:val="36"/>
        </w:rPr>
        <w:t>Charges</w:t>
      </w:r>
      <w:bookmarkEnd w:id="1"/>
      <w:r>
        <w:rPr>
          <w:rFonts w:ascii="Arial" w:eastAsia="Arial" w:hAnsi="Arial" w:cs="Arial"/>
          <w:b/>
          <w:sz w:val="36"/>
          <w:szCs w:val="36"/>
        </w:rPr>
        <w:t>)</w:t>
      </w:r>
    </w:p>
    <w:p w14:paraId="757EBD9C" w14:textId="77777777" w:rsidR="00C31436" w:rsidRDefault="008D2C29">
      <w:pPr>
        <w:keepNext/>
        <w:numPr>
          <w:ilvl w:val="0"/>
          <w:numId w:val="9"/>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120" w:after="240" w:line="240" w:lineRule="auto"/>
        <w:rPr>
          <w:rFonts w:ascii="Arial Bold" w:eastAsia="Arial Bold" w:hAnsi="Arial Bold" w:cs="Arial Bold"/>
          <w:b/>
          <w:color w:val="000000"/>
          <w:sz w:val="24"/>
          <w:szCs w:val="24"/>
        </w:rPr>
      </w:pPr>
      <w:bookmarkStart w:id="2" w:name="_heading=h.30j0zll"/>
      <w:bookmarkEnd w:id="2"/>
      <w:r>
        <w:rPr>
          <w:rFonts w:ascii="Arial Bold" w:eastAsia="Arial Bold" w:hAnsi="Arial Bold" w:cs="Arial Bold"/>
          <w:b/>
          <w:color w:val="000000"/>
          <w:sz w:val="24"/>
          <w:szCs w:val="24"/>
        </w:rPr>
        <w:t>How Charges are calculated</w:t>
      </w:r>
    </w:p>
    <w:p w14:paraId="1A3CFA38" w14:textId="77777777" w:rsidR="00C31436" w:rsidRDefault="008D2C29">
      <w:pPr>
        <w:keepNext/>
        <w:numPr>
          <w:ilvl w:val="1"/>
          <w:numId w:val="9"/>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w:t>
      </w:r>
    </w:p>
    <w:p w14:paraId="57F4C661" w14:textId="3FF8C470" w:rsidR="00C31436" w:rsidRPr="00C15FD3" w:rsidRDefault="00E21BAD">
      <w:pPr>
        <w:numPr>
          <w:ilvl w:val="1"/>
          <w:numId w:val="9"/>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pPr>
      <w:r w:rsidRPr="00E21BAD">
        <w:rPr>
          <w:rFonts w:ascii="Arial" w:eastAsia="Arial" w:hAnsi="Arial" w:cs="Arial"/>
          <w:color w:val="000000"/>
          <w:sz w:val="24"/>
          <w:szCs w:val="24"/>
        </w:rPr>
        <w:t>The Charges shall be calculated in accordance with this Schedule and the Supplier’s submitted Price Framework (Appendix 2)</w:t>
      </w:r>
      <w:r w:rsidR="00645923">
        <w:rPr>
          <w:rFonts w:ascii="Arial" w:eastAsia="Arial" w:hAnsi="Arial" w:cs="Arial"/>
          <w:color w:val="000000"/>
          <w:sz w:val="24"/>
          <w:szCs w:val="24"/>
        </w:rPr>
        <w:t xml:space="preserve"> of their submitted Tender (Schedule 4)</w:t>
      </w:r>
      <w:r w:rsidRPr="00E21BAD">
        <w:rPr>
          <w:rFonts w:ascii="Arial" w:eastAsia="Arial" w:hAnsi="Arial" w:cs="Arial"/>
          <w:color w:val="000000"/>
          <w:sz w:val="24"/>
          <w:szCs w:val="24"/>
        </w:rPr>
        <w:t xml:space="preserve">. </w:t>
      </w:r>
      <w:r w:rsidR="00C15FD3" w:rsidRPr="00C15FD3">
        <w:rPr>
          <w:rFonts w:ascii="Arial" w:eastAsia="Arial" w:hAnsi="Arial" w:cs="Arial"/>
          <w:color w:val="000000"/>
          <w:sz w:val="24"/>
          <w:szCs w:val="24"/>
        </w:rPr>
        <w:t>The Charges shall be calculated in accordance with this Schedule and the Supplier's submitted Price Framework (Appendix 2) forming part of Schedule 4 (Tender). Any variation to the Charges must be agreed by the Parties and implemented in accordance with the Variation Procedure.</w:t>
      </w:r>
    </w:p>
    <w:p w14:paraId="4932B957" w14:textId="68DA0E55" w:rsidR="00C15FD3" w:rsidRPr="00C15FD3" w:rsidRDefault="00C15FD3">
      <w:pPr>
        <w:numPr>
          <w:ilvl w:val="1"/>
          <w:numId w:val="9"/>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rPr>
          <w:rFonts w:ascii="Arial" w:eastAsia="Arial" w:hAnsi="Arial" w:cs="Arial"/>
          <w:color w:val="000000"/>
          <w:sz w:val="24"/>
          <w:szCs w:val="24"/>
        </w:rPr>
      </w:pPr>
      <w:r w:rsidRPr="00C15FD3">
        <w:rPr>
          <w:rFonts w:ascii="Arial" w:eastAsia="Arial" w:hAnsi="Arial" w:cs="Arial"/>
          <w:color w:val="000000"/>
          <w:sz w:val="24"/>
          <w:szCs w:val="24"/>
        </w:rPr>
        <w:t>The Charges shall include all licensing, subscription, platform, hosting, support and maintenance costs necessary to provide the Deliverables in accordance with the Contract unless expressly identified otherwise within the Supplier's Tender.</w:t>
      </w:r>
    </w:p>
    <w:p w14:paraId="646B4ADB" w14:textId="77777777" w:rsidR="00C31436" w:rsidRDefault="008D2C29">
      <w:pPr>
        <w:keepNext/>
        <w:numPr>
          <w:ilvl w:val="0"/>
          <w:numId w:val="9"/>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The pricing mechanisms</w:t>
      </w:r>
    </w:p>
    <w:p w14:paraId="3ECBB19D" w14:textId="62550658" w:rsidR="00104BFD" w:rsidRDefault="00C706B1" w:rsidP="00E21BAD">
      <w:pPr>
        <w:pStyle w:val="GPSDefinitionL4"/>
        <w:numPr>
          <w:ilvl w:val="0"/>
          <w:numId w:val="0"/>
        </w:numPr>
        <w:ind w:left="360"/>
      </w:pPr>
      <w:bookmarkStart w:id="3" w:name="bookmark=id.2et92p0"/>
      <w:bookmarkStart w:id="4" w:name="_heading=h.3znysh7"/>
      <w:bookmarkEnd w:id="3"/>
      <w:bookmarkEnd w:id="4"/>
      <w:r w:rsidRPr="00C706B1">
        <w:t xml:space="preserve">The </w:t>
      </w:r>
      <w:r>
        <w:t>Supplier will provide their price increase mechanism within the Price Framework of their submitted Tender (Schedule 4). The costs provided by the Supplier will be deemed to be inclusive of this price increase mechanism for all costs under the whole-life of the Contract (up to a maximum of 10 years).</w:t>
      </w:r>
    </w:p>
    <w:p w14:paraId="49E22EB7" w14:textId="77777777" w:rsidR="00C15FD3" w:rsidRDefault="00C15FD3" w:rsidP="00E21BAD">
      <w:pPr>
        <w:pStyle w:val="GPSDefinitionL4"/>
        <w:numPr>
          <w:ilvl w:val="0"/>
          <w:numId w:val="0"/>
        </w:numPr>
        <w:ind w:left="360"/>
      </w:pPr>
    </w:p>
    <w:p w14:paraId="0C5943CC" w14:textId="77777777" w:rsidR="00C15FD3" w:rsidRPr="00C15FD3" w:rsidRDefault="00C15FD3" w:rsidP="00C15FD3">
      <w:pPr>
        <w:pStyle w:val="GPSDefinitionL4"/>
        <w:numPr>
          <w:ilvl w:val="0"/>
          <w:numId w:val="0"/>
        </w:numPr>
        <w:ind w:left="360"/>
      </w:pPr>
      <w:r w:rsidRPr="00C15FD3">
        <w:t>Any increase shall be limited to the mechanism stated within the Supplier's Tender and no other increase shall apply.</w:t>
      </w:r>
    </w:p>
    <w:p w14:paraId="46DB02BB" w14:textId="77777777" w:rsidR="00C15FD3" w:rsidRPr="00C706B1" w:rsidRDefault="00C15FD3" w:rsidP="00E21BAD">
      <w:pPr>
        <w:pStyle w:val="GPSDefinitionL4"/>
        <w:numPr>
          <w:ilvl w:val="0"/>
          <w:numId w:val="0"/>
        </w:numPr>
        <w:ind w:left="360"/>
      </w:pPr>
    </w:p>
    <w:p w14:paraId="0A0AA4A8" w14:textId="77777777" w:rsidR="00C31436" w:rsidRDefault="008D2C29">
      <w:pPr>
        <w:keepNext/>
        <w:numPr>
          <w:ilvl w:val="0"/>
          <w:numId w:val="9"/>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Are costs and expenses included in the Charges</w:t>
      </w:r>
    </w:p>
    <w:p w14:paraId="555B702A" w14:textId="75C5D07C" w:rsidR="00C31436" w:rsidRDefault="008D2C29">
      <w:pPr>
        <w:keepNext/>
        <w:numPr>
          <w:ilvl w:val="1"/>
          <w:numId w:val="9"/>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pPr>
      <w:r>
        <w:rPr>
          <w:rFonts w:ascii="Arial" w:eastAsia="Arial" w:hAnsi="Arial" w:cs="Arial"/>
          <w:color w:val="000000"/>
          <w:sz w:val="24"/>
          <w:szCs w:val="24"/>
        </w:rPr>
        <w:t>the Charges shall include all costs and expenses relating to the provision of Deliverables. No further amounts shall be payable in respect of matters such as:</w:t>
      </w:r>
    </w:p>
    <w:p w14:paraId="2FEACF65" w14:textId="77777777" w:rsidR="00C31436" w:rsidRDefault="008D2C29">
      <w:pPr>
        <w:numPr>
          <w:ilvl w:val="2"/>
          <w:numId w:val="9"/>
        </w:numPr>
        <w:pBdr>
          <w:top w:val="single" w:sz="2" w:space="31" w:color="FFFFFF" w:shadow="1"/>
          <w:left w:val="single" w:sz="2" w:space="31" w:color="FFFFFF" w:shadow="1"/>
          <w:bottom w:val="single" w:sz="2" w:space="31" w:color="FFFFFF" w:shadow="1"/>
          <w:right w:val="single" w:sz="2" w:space="31" w:color="FFFFFF" w:shadow="1"/>
        </w:pBdr>
        <w:tabs>
          <w:tab w:val="left" w:pos="-1529"/>
          <w:tab w:val="left" w:pos="-13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5E231F92" w14:textId="77777777" w:rsidR="00C31436" w:rsidRDefault="008D2C29">
      <w:pPr>
        <w:numPr>
          <w:ilvl w:val="2"/>
          <w:numId w:val="9"/>
        </w:numPr>
        <w:pBdr>
          <w:top w:val="single" w:sz="2" w:space="31" w:color="FFFFFF" w:shadow="1"/>
          <w:left w:val="single" w:sz="2" w:space="31" w:color="FFFFFF" w:shadow="1"/>
          <w:bottom w:val="single" w:sz="2" w:space="31" w:color="FFFFFF" w:shadow="1"/>
          <w:right w:val="single" w:sz="2" w:space="31" w:color="FFFFFF" w:shadow="1"/>
        </w:pBdr>
        <w:tabs>
          <w:tab w:val="left" w:pos="-1529"/>
          <w:tab w:val="left" w:pos="-13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costs incurred prior to the commencement of this Contract.</w:t>
      </w:r>
    </w:p>
    <w:p w14:paraId="0902AF6E" w14:textId="77777777" w:rsidR="00C31436" w:rsidRDefault="008D2C29">
      <w:pPr>
        <w:keepNext/>
        <w:numPr>
          <w:ilvl w:val="0"/>
          <w:numId w:val="9"/>
        </w:numPr>
        <w:pBdr>
          <w:top w:val="single" w:sz="2" w:space="31" w:color="FFFFFF" w:shadow="1"/>
          <w:left w:val="single" w:sz="2" w:space="31" w:color="FFFFFF" w:shadow="1"/>
          <w:bottom w:val="single" w:sz="2" w:space="31" w:color="FFFFFF" w:shadow="1"/>
          <w:right w:val="single" w:sz="2" w:space="31" w:color="FFFFFF" w:shadow="1"/>
        </w:pBdr>
        <w:tabs>
          <w:tab w:val="left" w:pos="-720"/>
        </w:tabs>
        <w:spacing w:before="120" w:after="240" w:line="240" w:lineRule="auto"/>
        <w:rPr>
          <w:rFonts w:ascii="Arial Bold" w:eastAsia="Arial Bold" w:hAnsi="Arial Bold" w:cs="Arial Bold"/>
          <w:b/>
          <w:color w:val="000000"/>
          <w:sz w:val="24"/>
          <w:szCs w:val="24"/>
        </w:rPr>
      </w:pPr>
      <w:bookmarkStart w:id="5" w:name="_heading=h.2et92p0"/>
      <w:bookmarkEnd w:id="5"/>
      <w:r>
        <w:rPr>
          <w:rFonts w:ascii="Arial Bold" w:eastAsia="Arial Bold" w:hAnsi="Arial Bold" w:cs="Arial Bold"/>
          <w:b/>
          <w:color w:val="000000"/>
          <w:sz w:val="24"/>
          <w:szCs w:val="24"/>
        </w:rPr>
        <w:t>Other events that allow the Supplier to change the Charges</w:t>
      </w:r>
    </w:p>
    <w:p w14:paraId="5B9BA10F" w14:textId="063E9BB3" w:rsidR="009B7D31" w:rsidRDefault="008D2C29" w:rsidP="009B7D31">
      <w:pPr>
        <w:keepNext/>
        <w:numPr>
          <w:ilvl w:val="1"/>
          <w:numId w:val="9"/>
        </w:numPr>
        <w:pBdr>
          <w:top w:val="single" w:sz="2" w:space="31" w:color="FFFFFF" w:shadow="1"/>
          <w:left w:val="single" w:sz="2" w:space="31" w:color="FFFFFF" w:shadow="1"/>
          <w:bottom w:val="single" w:sz="2" w:space="31" w:color="FFFFFF" w:shadow="1"/>
          <w:right w:val="single" w:sz="2" w:space="31" w:color="FFFFFF" w:shadow="1"/>
        </w:pBdr>
        <w:tabs>
          <w:tab w:val="left" w:pos="-680"/>
        </w:tabs>
        <w:spacing w:before="120" w:after="120" w:line="240" w:lineRule="auto"/>
      </w:pPr>
      <w:r>
        <w:rPr>
          <w:rFonts w:ascii="Arial" w:eastAsia="Arial" w:hAnsi="Arial" w:cs="Arial"/>
          <w:color w:val="000000"/>
          <w:sz w:val="24"/>
          <w:szCs w:val="24"/>
        </w:rPr>
        <w:t>The Charges can also be varied due to:</w:t>
      </w:r>
    </w:p>
    <w:p w14:paraId="6B6458D0" w14:textId="77777777" w:rsidR="00C31436" w:rsidRDefault="008D2C29">
      <w:pPr>
        <w:numPr>
          <w:ilvl w:val="2"/>
          <w:numId w:val="9"/>
        </w:numPr>
        <w:pBdr>
          <w:top w:val="single" w:sz="2" w:space="31" w:color="FFFFFF" w:shadow="1"/>
          <w:left w:val="single" w:sz="2" w:space="31" w:color="FFFFFF" w:shadow="1"/>
          <w:bottom w:val="single" w:sz="2" w:space="31" w:color="FFFFFF" w:shadow="1"/>
          <w:right w:val="single" w:sz="2" w:space="31" w:color="FFFFFF" w:shadow="1"/>
        </w:pBdr>
        <w:tabs>
          <w:tab w:val="left" w:pos="-1529"/>
          <w:tab w:val="left" w:pos="-13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Clauses 28.7 to 28.8;</w:t>
      </w:r>
    </w:p>
    <w:p w14:paraId="12374321" w14:textId="188F6EB6" w:rsidR="00C31436" w:rsidRDefault="008D2C29">
      <w:pPr>
        <w:numPr>
          <w:ilvl w:val="2"/>
          <w:numId w:val="9"/>
        </w:numPr>
        <w:pBdr>
          <w:top w:val="single" w:sz="2" w:space="31" w:color="FFFFFF" w:shadow="1"/>
          <w:left w:val="single" w:sz="2" w:space="31" w:color="FFFFFF" w:shadow="1"/>
          <w:bottom w:val="single" w:sz="2" w:space="31" w:color="FFFFFF" w:shadow="1"/>
          <w:right w:val="single" w:sz="2" w:space="31" w:color="FFFFFF" w:shadow="1"/>
        </w:pBdr>
        <w:tabs>
          <w:tab w:val="left" w:pos="-1529"/>
          <w:tab w:val="left" w:pos="-138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w:t>
      </w:r>
      <w:r w:rsidR="009B7D31">
        <w:rPr>
          <w:rFonts w:ascii="Arial" w:eastAsia="Arial" w:hAnsi="Arial" w:cs="Arial"/>
          <w:color w:val="000000"/>
          <w:sz w:val="24"/>
          <w:szCs w:val="24"/>
        </w:rPr>
        <w:t xml:space="preserve"> </w:t>
      </w:r>
      <w:r>
        <w:rPr>
          <w:rFonts w:ascii="Arial" w:eastAsia="Arial" w:hAnsi="Arial" w:cs="Arial"/>
          <w:color w:val="000000"/>
          <w:sz w:val="24"/>
          <w:szCs w:val="24"/>
        </w:rPr>
        <w:t xml:space="preserve">decrease the Charges; </w:t>
      </w:r>
    </w:p>
    <w:p w14:paraId="4663885F" w14:textId="77777777" w:rsidR="00C31436" w:rsidRDefault="00C31436">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285" w:hanging="547"/>
        <w:rPr>
          <w:rFonts w:ascii="Arial" w:eastAsia="Arial" w:hAnsi="Arial" w:cs="Arial"/>
          <w:color w:val="000000"/>
          <w:sz w:val="24"/>
          <w:szCs w:val="24"/>
        </w:rPr>
      </w:pPr>
      <w:bookmarkStart w:id="6" w:name="_heading=h.3rdcrjn"/>
      <w:bookmarkStart w:id="7" w:name="_heading=h.26in1rg"/>
      <w:bookmarkStart w:id="8" w:name="_heading=h.lnxbz9"/>
      <w:bookmarkStart w:id="9" w:name="_heading=h.35nkun2"/>
      <w:bookmarkEnd w:id="6"/>
      <w:bookmarkEnd w:id="7"/>
      <w:bookmarkEnd w:id="8"/>
      <w:bookmarkEnd w:id="9"/>
    </w:p>
    <w:p w14:paraId="73737C66" w14:textId="77777777" w:rsidR="00C31436" w:rsidRDefault="00C31436">
      <w:bookmarkStart w:id="10" w:name="_heading=h.1t3h5sf"/>
      <w:bookmarkEnd w:id="10"/>
    </w:p>
    <w:p w14:paraId="307857BB" w14:textId="77777777" w:rsidR="00C31436" w:rsidRDefault="008D2C29">
      <w:pPr>
        <w:pageBreakBefore/>
      </w:pPr>
      <w:r>
        <w:rPr>
          <w:rFonts w:ascii="Arial" w:eastAsia="Times New Roman" w:hAnsi="Arial" w:cs="Times New Roman"/>
          <w:b/>
          <w:sz w:val="36"/>
          <w:szCs w:val="36"/>
        </w:rPr>
        <w:lastRenderedPageBreak/>
        <w:t xml:space="preserve">Annex 1 </w:t>
      </w:r>
      <w:r>
        <w:rPr>
          <w:rFonts w:ascii="Arial" w:eastAsia="Arial" w:hAnsi="Arial" w:cs="Times New Roman"/>
          <w:b/>
          <w:sz w:val="36"/>
          <w:szCs w:val="36"/>
        </w:rPr>
        <w:t xml:space="preserve">– </w:t>
      </w:r>
      <w:r>
        <w:rPr>
          <w:rFonts w:ascii="Arial" w:eastAsia="Arial" w:hAnsi="Arial" w:cs="Arial"/>
          <w:b/>
          <w:sz w:val="36"/>
          <w:szCs w:val="36"/>
        </w:rPr>
        <w:t>Rates and Prices</w:t>
      </w:r>
    </w:p>
    <w:p w14:paraId="4A11C4F9" w14:textId="2A5846F1" w:rsidR="00312B1E" w:rsidRDefault="00C21F75" w:rsidP="00A20A20">
      <w:pPr>
        <w:tabs>
          <w:tab w:val="left" w:pos="2280"/>
        </w:tabs>
        <w:rPr>
          <w:rFonts w:ascii="Arial" w:eastAsia="Arial" w:hAnsi="Arial" w:cs="Arial"/>
          <w:bCs/>
          <w:iCs/>
          <w:sz w:val="24"/>
          <w:szCs w:val="24"/>
        </w:rPr>
      </w:pPr>
      <w:r>
        <w:rPr>
          <w:rFonts w:ascii="Arial" w:eastAsia="Arial" w:hAnsi="Arial" w:cs="Arial"/>
          <w:bCs/>
          <w:iCs/>
          <w:sz w:val="24"/>
          <w:szCs w:val="24"/>
        </w:rPr>
        <w:t>The Charges payable to the Supplier by the Buyer under this Contract shall be set out in Schedule 4 (Tender) and the Supplier’s submitted prices submitted as part of their submitted Price Framework as part of their Tender.</w:t>
      </w:r>
    </w:p>
    <w:p w14:paraId="6DE715CA" w14:textId="52F20936" w:rsidR="00312B1E" w:rsidRPr="00312B1E" w:rsidRDefault="00312B1E" w:rsidP="00A20A20">
      <w:pPr>
        <w:tabs>
          <w:tab w:val="left" w:pos="2280"/>
        </w:tabs>
        <w:rPr>
          <w:rFonts w:ascii="Arial" w:eastAsia="Arial" w:hAnsi="Arial" w:cs="Arial"/>
          <w:b/>
          <w:iCs/>
          <w:sz w:val="24"/>
          <w:szCs w:val="24"/>
        </w:rPr>
      </w:pPr>
      <w:r w:rsidRPr="00312B1E">
        <w:rPr>
          <w:rFonts w:ascii="Arial" w:eastAsia="Arial" w:hAnsi="Arial" w:cs="Arial"/>
          <w:b/>
          <w:iCs/>
          <w:sz w:val="24"/>
          <w:szCs w:val="24"/>
        </w:rPr>
        <w:t>Implementation Charges:</w:t>
      </w:r>
    </w:p>
    <w:p w14:paraId="4345B6B9" w14:textId="26BE4EF0" w:rsidR="00BD59AE" w:rsidRDefault="00BD59AE" w:rsidP="00A20A20">
      <w:pPr>
        <w:tabs>
          <w:tab w:val="left" w:pos="2280"/>
        </w:tabs>
        <w:rPr>
          <w:rFonts w:ascii="Arial" w:eastAsia="Arial" w:hAnsi="Arial" w:cs="Arial"/>
          <w:bCs/>
          <w:iCs/>
          <w:sz w:val="24"/>
          <w:szCs w:val="24"/>
        </w:rPr>
      </w:pPr>
      <w:r>
        <w:rPr>
          <w:rFonts w:ascii="Arial" w:eastAsia="Arial" w:hAnsi="Arial" w:cs="Arial"/>
          <w:bCs/>
          <w:iCs/>
          <w:sz w:val="24"/>
          <w:szCs w:val="24"/>
        </w:rPr>
        <w:t>The Charges for Implementation shall be payable against the Milestones in Schedule 8 as follows:</w:t>
      </w:r>
    </w:p>
    <w:tbl>
      <w:tblPr>
        <w:tblW w:w="8937"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7"/>
        <w:gridCol w:w="3328"/>
        <w:gridCol w:w="2702"/>
      </w:tblGrid>
      <w:tr w:rsidR="00BD59AE" w:rsidRPr="008602CB" w14:paraId="65CB8696" w14:textId="77777777" w:rsidTr="00BD59AE">
        <w:trPr>
          <w:trHeight w:val="430"/>
        </w:trPr>
        <w:tc>
          <w:tcPr>
            <w:tcW w:w="2907" w:type="dxa"/>
            <w:tcBorders>
              <w:bottom w:val="single" w:sz="4" w:space="0" w:color="000000"/>
            </w:tcBorders>
            <w:shd w:val="clear" w:color="auto" w:fill="FFFFFF"/>
          </w:tcPr>
          <w:p w14:paraId="70F72EA3" w14:textId="6480BBAD" w:rsidR="00BD59AE" w:rsidRPr="008602CB" w:rsidRDefault="00BD59AE" w:rsidP="005A6B71">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Milestone</w:t>
            </w:r>
            <w:r>
              <w:rPr>
                <w:rFonts w:ascii="Arial" w:hAnsi="Arial" w:cs="Arial"/>
                <w:color w:val="000000"/>
              </w:rPr>
              <w:t xml:space="preserve"> Ref</w:t>
            </w:r>
          </w:p>
        </w:tc>
        <w:tc>
          <w:tcPr>
            <w:tcW w:w="3328" w:type="dxa"/>
            <w:tcBorders>
              <w:bottom w:val="single" w:sz="4" w:space="0" w:color="000000"/>
            </w:tcBorders>
            <w:shd w:val="clear" w:color="auto" w:fill="FFFFFF"/>
          </w:tcPr>
          <w:p w14:paraId="55C50F09" w14:textId="7513A5D5" w:rsidR="00BD59AE" w:rsidRPr="008602CB" w:rsidRDefault="00BD59AE" w:rsidP="005A6B71">
            <w:pPr>
              <w:keepNext/>
              <w:pBdr>
                <w:top w:val="nil"/>
                <w:left w:val="nil"/>
                <w:bottom w:val="nil"/>
                <w:right w:val="nil"/>
                <w:between w:val="nil"/>
              </w:pBdr>
              <w:spacing w:after="240"/>
              <w:rPr>
                <w:rFonts w:ascii="Arial" w:hAnsi="Arial" w:cs="Arial"/>
                <w:color w:val="000000"/>
              </w:rPr>
            </w:pPr>
            <w:r>
              <w:rPr>
                <w:rFonts w:ascii="Arial" w:hAnsi="Arial" w:cs="Arial"/>
                <w:color w:val="000000"/>
              </w:rPr>
              <w:t>Payment of % of Implementation Charges provided in Supplier’s Tender</w:t>
            </w:r>
          </w:p>
        </w:tc>
        <w:tc>
          <w:tcPr>
            <w:tcW w:w="2702" w:type="dxa"/>
            <w:tcBorders>
              <w:bottom w:val="single" w:sz="4" w:space="0" w:color="000000"/>
            </w:tcBorders>
            <w:shd w:val="clear" w:color="auto" w:fill="FFFFFF"/>
          </w:tcPr>
          <w:p w14:paraId="03DEB4CC" w14:textId="4E65CD01" w:rsidR="00BD59AE" w:rsidRPr="008602CB" w:rsidRDefault="00BD59AE" w:rsidP="005A6B71">
            <w:pPr>
              <w:keepNext/>
              <w:pBdr>
                <w:top w:val="nil"/>
                <w:left w:val="nil"/>
                <w:bottom w:val="nil"/>
                <w:right w:val="nil"/>
                <w:between w:val="nil"/>
              </w:pBdr>
              <w:spacing w:after="240"/>
              <w:rPr>
                <w:rFonts w:ascii="Arial" w:hAnsi="Arial" w:cs="Arial"/>
                <w:color w:val="000000"/>
              </w:rPr>
            </w:pPr>
            <w:r>
              <w:rPr>
                <w:rFonts w:ascii="Arial" w:hAnsi="Arial" w:cs="Arial"/>
                <w:color w:val="000000"/>
              </w:rPr>
              <w:t>Payment Trigger</w:t>
            </w:r>
          </w:p>
        </w:tc>
      </w:tr>
      <w:tr w:rsidR="00BD59AE" w:rsidRPr="008602CB" w14:paraId="74FD51B6" w14:textId="77777777" w:rsidTr="00BD59AE">
        <w:trPr>
          <w:trHeight w:val="773"/>
        </w:trPr>
        <w:tc>
          <w:tcPr>
            <w:tcW w:w="2907" w:type="dxa"/>
            <w:tcBorders>
              <w:top w:val="single" w:sz="4" w:space="0" w:color="000000"/>
              <w:bottom w:val="single" w:sz="4" w:space="0" w:color="000000"/>
            </w:tcBorders>
            <w:shd w:val="clear" w:color="auto" w:fill="FFFFFF"/>
          </w:tcPr>
          <w:p w14:paraId="4BF71F41" w14:textId="658FD1B4" w:rsidR="00BD59AE" w:rsidRPr="00BD59AE" w:rsidRDefault="00104BFD" w:rsidP="005A6B71">
            <w:pPr>
              <w:spacing w:after="120"/>
              <w:rPr>
                <w:rFonts w:ascii="Arial" w:hAnsi="Arial" w:cs="Arial"/>
              </w:rPr>
            </w:pPr>
            <w:r w:rsidRPr="00104BFD">
              <w:rPr>
                <w:rFonts w:ascii="Arial" w:hAnsi="Arial" w:cs="Arial"/>
              </w:rPr>
              <w:t>Contract Signing</w:t>
            </w:r>
          </w:p>
        </w:tc>
        <w:tc>
          <w:tcPr>
            <w:tcW w:w="3328" w:type="dxa"/>
            <w:tcBorders>
              <w:top w:val="single" w:sz="4" w:space="0" w:color="000000"/>
              <w:bottom w:val="single" w:sz="4" w:space="0" w:color="000000"/>
            </w:tcBorders>
            <w:shd w:val="clear" w:color="auto" w:fill="FFFFFF"/>
          </w:tcPr>
          <w:p w14:paraId="6276D6A1" w14:textId="2B79CEB6" w:rsidR="00BD59AE" w:rsidRPr="00BD59AE" w:rsidRDefault="00C15FD3" w:rsidP="005A6B71">
            <w:pPr>
              <w:spacing w:after="120"/>
              <w:rPr>
                <w:rFonts w:ascii="Arial" w:hAnsi="Arial" w:cs="Arial"/>
              </w:rPr>
            </w:pPr>
            <w:r>
              <w:rPr>
                <w:rFonts w:ascii="Arial" w:hAnsi="Arial" w:cs="Arial"/>
              </w:rPr>
              <w:t>2</w:t>
            </w:r>
            <w:r w:rsidR="00BD59AE">
              <w:rPr>
                <w:rFonts w:ascii="Arial" w:hAnsi="Arial" w:cs="Arial"/>
              </w:rPr>
              <w:t>0%</w:t>
            </w:r>
          </w:p>
        </w:tc>
        <w:tc>
          <w:tcPr>
            <w:tcW w:w="2702" w:type="dxa"/>
            <w:tcBorders>
              <w:top w:val="single" w:sz="4" w:space="0" w:color="000000"/>
              <w:bottom w:val="single" w:sz="4" w:space="0" w:color="000000"/>
            </w:tcBorders>
            <w:shd w:val="clear" w:color="auto" w:fill="FFFFFF"/>
          </w:tcPr>
          <w:p w14:paraId="0414CC69" w14:textId="67369A41" w:rsidR="00BD59AE" w:rsidRPr="00BD59AE" w:rsidRDefault="00BD59AE" w:rsidP="005A6B71">
            <w:pPr>
              <w:spacing w:after="120"/>
              <w:rPr>
                <w:rFonts w:ascii="Arial" w:hAnsi="Arial" w:cs="Arial"/>
              </w:rPr>
            </w:pPr>
            <w:r>
              <w:rPr>
                <w:rFonts w:ascii="Arial" w:hAnsi="Arial" w:cs="Arial"/>
              </w:rPr>
              <w:t xml:space="preserve">Payable within 30 days on receipt of Invoice following </w:t>
            </w:r>
            <w:r w:rsidR="00104BFD" w:rsidRPr="00104BFD">
              <w:rPr>
                <w:rFonts w:ascii="Arial" w:hAnsi="Arial" w:cs="Arial"/>
              </w:rPr>
              <w:t>Contract Signing</w:t>
            </w:r>
          </w:p>
        </w:tc>
      </w:tr>
      <w:tr w:rsidR="00C15FD3" w:rsidRPr="008602CB" w14:paraId="0AABB1B6" w14:textId="77777777" w:rsidTr="00BD59AE">
        <w:trPr>
          <w:trHeight w:val="773"/>
        </w:trPr>
        <w:tc>
          <w:tcPr>
            <w:tcW w:w="2907" w:type="dxa"/>
            <w:tcBorders>
              <w:top w:val="single" w:sz="4" w:space="0" w:color="000000"/>
              <w:bottom w:val="single" w:sz="4" w:space="0" w:color="000000"/>
            </w:tcBorders>
            <w:shd w:val="clear" w:color="auto" w:fill="FFFFFF"/>
          </w:tcPr>
          <w:p w14:paraId="26434E35" w14:textId="0C49A0B6" w:rsidR="00C15FD3" w:rsidRDefault="00C15FD3" w:rsidP="005A6B71">
            <w:pPr>
              <w:spacing w:after="120"/>
              <w:rPr>
                <w:rFonts w:ascii="Arial" w:hAnsi="Arial" w:cs="Arial"/>
              </w:rPr>
            </w:pPr>
            <w:r>
              <w:rPr>
                <w:rFonts w:ascii="Arial" w:hAnsi="Arial" w:cs="Arial"/>
              </w:rPr>
              <w:t>Discovery complete and design sign-off</w:t>
            </w:r>
          </w:p>
        </w:tc>
        <w:tc>
          <w:tcPr>
            <w:tcW w:w="3328" w:type="dxa"/>
            <w:tcBorders>
              <w:top w:val="single" w:sz="4" w:space="0" w:color="000000"/>
              <w:bottom w:val="single" w:sz="4" w:space="0" w:color="000000"/>
            </w:tcBorders>
            <w:shd w:val="clear" w:color="auto" w:fill="FFFFFF"/>
          </w:tcPr>
          <w:p w14:paraId="7F1C1420" w14:textId="1C30D961" w:rsidR="00C15FD3" w:rsidRDefault="00C15FD3" w:rsidP="005A6B71">
            <w:pPr>
              <w:spacing w:after="120"/>
              <w:rPr>
                <w:rFonts w:ascii="Arial" w:hAnsi="Arial" w:cs="Arial"/>
              </w:rPr>
            </w:pPr>
            <w:r>
              <w:rPr>
                <w:rFonts w:ascii="Arial" w:hAnsi="Arial" w:cs="Arial"/>
              </w:rPr>
              <w:t>20%</w:t>
            </w:r>
          </w:p>
        </w:tc>
        <w:tc>
          <w:tcPr>
            <w:tcW w:w="2702" w:type="dxa"/>
            <w:tcBorders>
              <w:top w:val="single" w:sz="4" w:space="0" w:color="000000"/>
              <w:bottom w:val="single" w:sz="4" w:space="0" w:color="000000"/>
            </w:tcBorders>
            <w:shd w:val="clear" w:color="auto" w:fill="FFFFFF"/>
          </w:tcPr>
          <w:p w14:paraId="733D1DC3" w14:textId="4382AEA3" w:rsidR="00C15FD3" w:rsidRDefault="00C15FD3" w:rsidP="005A6B71">
            <w:pPr>
              <w:spacing w:after="120"/>
              <w:rPr>
                <w:rFonts w:ascii="Arial" w:hAnsi="Arial" w:cs="Arial"/>
              </w:rPr>
            </w:pPr>
            <w:r>
              <w:rPr>
                <w:rFonts w:ascii="Arial" w:hAnsi="Arial" w:cs="Arial"/>
              </w:rPr>
              <w:t>Payable within 30 days on receipt of Invoice</w:t>
            </w:r>
          </w:p>
        </w:tc>
      </w:tr>
      <w:tr w:rsidR="00C15FD3" w:rsidRPr="008602CB" w14:paraId="296DE1FB" w14:textId="77777777" w:rsidTr="00BD59AE">
        <w:trPr>
          <w:trHeight w:val="773"/>
        </w:trPr>
        <w:tc>
          <w:tcPr>
            <w:tcW w:w="2907" w:type="dxa"/>
            <w:tcBorders>
              <w:top w:val="single" w:sz="4" w:space="0" w:color="000000"/>
              <w:bottom w:val="single" w:sz="4" w:space="0" w:color="000000"/>
            </w:tcBorders>
            <w:shd w:val="clear" w:color="auto" w:fill="FFFFFF"/>
          </w:tcPr>
          <w:p w14:paraId="212AFD70" w14:textId="3D185B9B" w:rsidR="00C15FD3" w:rsidRDefault="00C15FD3" w:rsidP="005A6B71">
            <w:pPr>
              <w:spacing w:after="120"/>
              <w:rPr>
                <w:rFonts w:ascii="Arial" w:hAnsi="Arial" w:cs="Arial"/>
              </w:rPr>
            </w:pPr>
            <w:r>
              <w:rPr>
                <w:rFonts w:ascii="Arial" w:hAnsi="Arial" w:cs="Arial"/>
              </w:rPr>
              <w:t xml:space="preserve">Configuration and Data Migration </w:t>
            </w:r>
            <w:proofErr w:type="spellStart"/>
            <w:r>
              <w:rPr>
                <w:rFonts w:ascii="Arial" w:hAnsi="Arial" w:cs="Arial"/>
              </w:rPr>
              <w:t>cmplete</w:t>
            </w:r>
            <w:proofErr w:type="spellEnd"/>
          </w:p>
        </w:tc>
        <w:tc>
          <w:tcPr>
            <w:tcW w:w="3328" w:type="dxa"/>
            <w:tcBorders>
              <w:top w:val="single" w:sz="4" w:space="0" w:color="000000"/>
              <w:bottom w:val="single" w:sz="4" w:space="0" w:color="000000"/>
            </w:tcBorders>
            <w:shd w:val="clear" w:color="auto" w:fill="FFFFFF"/>
          </w:tcPr>
          <w:p w14:paraId="094986A9" w14:textId="2D1591BB" w:rsidR="00C15FD3" w:rsidRDefault="00C15FD3" w:rsidP="005A6B71">
            <w:pPr>
              <w:spacing w:after="120"/>
              <w:rPr>
                <w:rFonts w:ascii="Arial" w:hAnsi="Arial" w:cs="Arial"/>
              </w:rPr>
            </w:pPr>
            <w:r>
              <w:rPr>
                <w:rFonts w:ascii="Arial" w:hAnsi="Arial" w:cs="Arial"/>
              </w:rPr>
              <w:t>30%</w:t>
            </w:r>
          </w:p>
        </w:tc>
        <w:tc>
          <w:tcPr>
            <w:tcW w:w="2702" w:type="dxa"/>
            <w:tcBorders>
              <w:top w:val="single" w:sz="4" w:space="0" w:color="000000"/>
              <w:bottom w:val="single" w:sz="4" w:space="0" w:color="000000"/>
            </w:tcBorders>
            <w:shd w:val="clear" w:color="auto" w:fill="FFFFFF"/>
          </w:tcPr>
          <w:p w14:paraId="64BFB41E" w14:textId="077283A7" w:rsidR="00C15FD3" w:rsidRDefault="00C15FD3" w:rsidP="005A6B71">
            <w:pPr>
              <w:spacing w:after="120"/>
              <w:rPr>
                <w:rFonts w:ascii="Arial" w:hAnsi="Arial" w:cs="Arial"/>
              </w:rPr>
            </w:pPr>
            <w:r>
              <w:rPr>
                <w:rFonts w:ascii="Arial" w:hAnsi="Arial" w:cs="Arial"/>
              </w:rPr>
              <w:t>Payable within 30 days on receipt of Invoice</w:t>
            </w:r>
          </w:p>
        </w:tc>
      </w:tr>
      <w:tr w:rsidR="00BD59AE" w:rsidRPr="008602CB" w14:paraId="6685F4B1" w14:textId="77777777" w:rsidTr="00BD59AE">
        <w:trPr>
          <w:trHeight w:val="773"/>
        </w:trPr>
        <w:tc>
          <w:tcPr>
            <w:tcW w:w="2907" w:type="dxa"/>
            <w:tcBorders>
              <w:top w:val="single" w:sz="4" w:space="0" w:color="000000"/>
              <w:bottom w:val="single" w:sz="4" w:space="0" w:color="000000"/>
            </w:tcBorders>
            <w:shd w:val="clear" w:color="auto" w:fill="FFFFFF"/>
          </w:tcPr>
          <w:p w14:paraId="6F7ED2AC" w14:textId="7DA756B1" w:rsidR="00BD59AE" w:rsidRPr="00BD59AE" w:rsidRDefault="00BD59AE" w:rsidP="005A6B71">
            <w:pPr>
              <w:spacing w:after="120"/>
              <w:rPr>
                <w:rFonts w:ascii="Arial" w:hAnsi="Arial" w:cs="Arial"/>
              </w:rPr>
            </w:pPr>
            <w:r>
              <w:rPr>
                <w:rFonts w:ascii="Arial" w:hAnsi="Arial" w:cs="Arial"/>
              </w:rPr>
              <w:t>Successful completion of UAT, confirmed in accordance with Schedule 8</w:t>
            </w:r>
          </w:p>
        </w:tc>
        <w:tc>
          <w:tcPr>
            <w:tcW w:w="3328" w:type="dxa"/>
            <w:tcBorders>
              <w:top w:val="single" w:sz="4" w:space="0" w:color="000000"/>
              <w:bottom w:val="single" w:sz="4" w:space="0" w:color="000000"/>
            </w:tcBorders>
            <w:shd w:val="clear" w:color="auto" w:fill="FFFFFF"/>
          </w:tcPr>
          <w:p w14:paraId="6F650CCA" w14:textId="07BB0067" w:rsidR="00BD59AE" w:rsidRDefault="00C15FD3" w:rsidP="005A6B71">
            <w:pPr>
              <w:spacing w:after="120"/>
              <w:rPr>
                <w:rFonts w:ascii="Arial" w:hAnsi="Arial" w:cs="Arial"/>
              </w:rPr>
            </w:pPr>
            <w:r>
              <w:rPr>
                <w:rFonts w:ascii="Arial" w:hAnsi="Arial" w:cs="Arial"/>
              </w:rPr>
              <w:t>3</w:t>
            </w:r>
            <w:r w:rsidR="00BD59AE">
              <w:rPr>
                <w:rFonts w:ascii="Arial" w:hAnsi="Arial" w:cs="Arial"/>
              </w:rPr>
              <w:t>0%</w:t>
            </w:r>
          </w:p>
        </w:tc>
        <w:tc>
          <w:tcPr>
            <w:tcW w:w="2702" w:type="dxa"/>
            <w:tcBorders>
              <w:top w:val="single" w:sz="4" w:space="0" w:color="000000"/>
              <w:bottom w:val="single" w:sz="4" w:space="0" w:color="000000"/>
            </w:tcBorders>
            <w:shd w:val="clear" w:color="auto" w:fill="FFFFFF"/>
          </w:tcPr>
          <w:p w14:paraId="12A8886A" w14:textId="3FEB9A2A" w:rsidR="00BD59AE" w:rsidRDefault="00BD59AE" w:rsidP="005A6B71">
            <w:pPr>
              <w:spacing w:after="120"/>
              <w:rPr>
                <w:rFonts w:ascii="Arial" w:hAnsi="Arial" w:cs="Arial"/>
              </w:rPr>
            </w:pPr>
            <w:r>
              <w:rPr>
                <w:rFonts w:ascii="Arial" w:hAnsi="Arial" w:cs="Arial"/>
              </w:rPr>
              <w:t>Payable within 30 days on receipt of Invoice following successful completion of UAT, confirmed in accordance with Schedule 8</w:t>
            </w:r>
          </w:p>
        </w:tc>
      </w:tr>
    </w:tbl>
    <w:p w14:paraId="26454A3E" w14:textId="77777777" w:rsidR="00BD59AE" w:rsidRDefault="00BD59AE" w:rsidP="00A20A20">
      <w:pPr>
        <w:tabs>
          <w:tab w:val="left" w:pos="2280"/>
        </w:tabs>
        <w:rPr>
          <w:rFonts w:ascii="Arial" w:eastAsia="Arial" w:hAnsi="Arial" w:cs="Arial"/>
          <w:bCs/>
          <w:iCs/>
          <w:sz w:val="24"/>
          <w:szCs w:val="24"/>
        </w:rPr>
      </w:pPr>
    </w:p>
    <w:p w14:paraId="3ACC90CF" w14:textId="77777777" w:rsidR="00E21BAD" w:rsidRPr="00E21BAD" w:rsidRDefault="00E21BAD" w:rsidP="00E21BAD">
      <w:pPr>
        <w:tabs>
          <w:tab w:val="left" w:pos="2280"/>
        </w:tabs>
        <w:rPr>
          <w:rFonts w:ascii="Arial" w:eastAsia="Arial" w:hAnsi="Arial" w:cs="Arial"/>
          <w:bCs/>
          <w:iCs/>
          <w:sz w:val="24"/>
          <w:szCs w:val="24"/>
        </w:rPr>
      </w:pPr>
      <w:r w:rsidRPr="00E21BAD">
        <w:rPr>
          <w:rFonts w:ascii="Arial" w:eastAsia="Arial" w:hAnsi="Arial" w:cs="Arial"/>
          <w:b/>
          <w:bCs/>
          <w:iCs/>
          <w:sz w:val="24"/>
          <w:szCs w:val="24"/>
        </w:rPr>
        <w:t>Annual License and Support Charges</w:t>
      </w:r>
      <w:r w:rsidRPr="00E21BAD">
        <w:rPr>
          <w:rFonts w:ascii="Arial" w:eastAsia="Arial" w:hAnsi="Arial" w:cs="Arial"/>
          <w:bCs/>
          <w:iCs/>
          <w:sz w:val="24"/>
          <w:szCs w:val="24"/>
        </w:rPr>
        <w:t>:</w:t>
      </w:r>
    </w:p>
    <w:p w14:paraId="24C20D11" w14:textId="66CE7037" w:rsidR="000C657C" w:rsidRPr="00C21F75" w:rsidRDefault="00C15FD3" w:rsidP="00C15FD3">
      <w:pPr>
        <w:tabs>
          <w:tab w:val="left" w:pos="2280"/>
        </w:tabs>
        <w:rPr>
          <w:rFonts w:ascii="Arial" w:eastAsia="Arial" w:hAnsi="Arial" w:cs="Arial"/>
          <w:bCs/>
          <w:iCs/>
          <w:sz w:val="24"/>
          <w:szCs w:val="24"/>
        </w:rPr>
      </w:pPr>
      <w:r w:rsidRPr="00C15FD3">
        <w:rPr>
          <w:rFonts w:ascii="Arial" w:eastAsia="Arial" w:hAnsi="Arial" w:cs="Arial"/>
          <w:bCs/>
          <w:iCs/>
          <w:sz w:val="24"/>
          <w:szCs w:val="24"/>
        </w:rPr>
        <w:t>Recurring Charges shall not become payable until the relevant module, service or solution has achieved Go-Live and is available for productive operational use by the Buyer.</w:t>
      </w:r>
    </w:p>
    <w:sectPr w:rsidR="000C657C" w:rsidRPr="00C21F75" w:rsidSect="00A20A20">
      <w:footerReference w:type="default" r:id="rId7"/>
      <w:pgSz w:w="11906" w:h="16838"/>
      <w:pgMar w:top="1888" w:right="1440" w:bottom="1440" w:left="1440" w:header="709" w:footer="709"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A7E57" w14:textId="77777777" w:rsidR="00C404C3" w:rsidRDefault="00C404C3">
      <w:pPr>
        <w:spacing w:after="0" w:line="240" w:lineRule="auto"/>
      </w:pPr>
      <w:r>
        <w:separator/>
      </w:r>
    </w:p>
  </w:endnote>
  <w:endnote w:type="continuationSeparator" w:id="0">
    <w:p w14:paraId="651AAD82" w14:textId="77777777" w:rsidR="00C404C3" w:rsidRDefault="00C40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2F4C" w14:textId="77777777" w:rsidR="008D2C29" w:rsidRDefault="008D2C29">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v.1.3A</w:t>
    </w:r>
  </w:p>
  <w:p w14:paraId="45214A14" w14:textId="3D776DB7" w:rsidR="008D2C29" w:rsidRDefault="008D2C29">
    <w:pPr>
      <w:tabs>
        <w:tab w:val="left" w:pos="720"/>
        <w:tab w:val="left" w:pos="1440"/>
        <w:tab w:val="left" w:pos="2160"/>
        <w:tab w:val="left" w:pos="2880"/>
        <w:tab w:val="left" w:pos="3600"/>
        <w:tab w:val="left" w:pos="4320"/>
        <w:tab w:val="left" w:pos="4905"/>
      </w:tabs>
      <w:spacing w:after="0" w:line="240" w:lineRule="auto"/>
      <w:jc w:val="both"/>
    </w:pPr>
    <w:r>
      <w:rPr>
        <w:color w:val="BFBFBF"/>
      </w:rPr>
      <w:tab/>
    </w:r>
    <w:r>
      <w:rPr>
        <w:color w:val="BFBFBF"/>
      </w:rPr>
      <w:tab/>
    </w:r>
    <w:r>
      <w:rPr>
        <w:rFonts w:ascii="Arial" w:eastAsia="Arial" w:hAnsi="Arial" w:cs="Arial"/>
        <w:color w:val="000000"/>
        <w:sz w:val="14"/>
        <w:szCs w:val="20"/>
      </w:rPr>
      <w:fldChar w:fldCharType="begin"/>
    </w:r>
    <w:r>
      <w:rPr>
        <w:rFonts w:ascii="Arial" w:eastAsia="Arial" w:hAnsi="Arial" w:cs="Arial"/>
        <w:color w:val="000000"/>
        <w:sz w:val="14"/>
        <w:szCs w:val="20"/>
      </w:rPr>
      <w:instrText xml:space="preserve"> DOCPROPERTY "DWFFooter" </w:instrText>
    </w:r>
    <w:r>
      <w:rPr>
        <w:rFonts w:ascii="Arial" w:eastAsia="Arial" w:hAnsi="Arial" w:cs="Arial"/>
        <w:color w:val="000000"/>
        <w:sz w:val="14"/>
        <w:szCs w:val="20"/>
      </w:rPr>
      <w:fldChar w:fldCharType="separate"/>
    </w:r>
    <w:r w:rsidR="003F75ED">
      <w:rPr>
        <w:rFonts w:ascii="Arial" w:eastAsia="Arial" w:hAnsi="Arial" w:cs="Arial"/>
        <w:color w:val="000000"/>
        <w:sz w:val="14"/>
        <w:szCs w:val="20"/>
      </w:rPr>
      <w:t>92852295-1</w:t>
    </w:r>
    <w:r>
      <w:rPr>
        <w:rFonts w:ascii="Arial" w:eastAsia="Arial" w:hAnsi="Arial" w:cs="Arial"/>
        <w:color w:val="000000"/>
        <w:sz w:val="1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22FB" w14:textId="77777777" w:rsidR="00C404C3" w:rsidRDefault="00C404C3">
      <w:pPr>
        <w:spacing w:after="0" w:line="240" w:lineRule="auto"/>
      </w:pPr>
      <w:r>
        <w:rPr>
          <w:color w:val="000000"/>
        </w:rPr>
        <w:separator/>
      </w:r>
    </w:p>
  </w:footnote>
  <w:footnote w:type="continuationSeparator" w:id="0">
    <w:p w14:paraId="21EE67C1" w14:textId="77777777" w:rsidR="00C404C3" w:rsidRDefault="00C40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1AA"/>
    <w:multiLevelType w:val="multilevel"/>
    <w:tmpl w:val="B426898C"/>
    <w:styleLink w:val="CurrentList1"/>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606" w:hanging="848"/>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8B63CC0"/>
    <w:multiLevelType w:val="multilevel"/>
    <w:tmpl w:val="BEC4DE1A"/>
    <w:styleLink w:val="CurrentList4"/>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880" w:hanging="1122"/>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FAF27F0"/>
    <w:multiLevelType w:val="multilevel"/>
    <w:tmpl w:val="97287FBA"/>
    <w:styleLink w:val="LFO2"/>
    <w:lvl w:ilvl="0">
      <w:start w:val="1"/>
      <w:numFmt w:val="decimal"/>
      <w:pStyle w:val="GPSDefinitionL4"/>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592" w:hanging="864"/>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8340D4B"/>
    <w:multiLevelType w:val="multilevel"/>
    <w:tmpl w:val="3216064E"/>
    <w:styleLink w:val="WWOutlineListStyle1"/>
    <w:lvl w:ilvl="0">
      <w:start w:val="1"/>
      <w:numFmt w:val="none"/>
      <w:lvlText w:val=""/>
      <w:lvlJc w:val="left"/>
    </w:lvl>
    <w:lvl w:ilvl="1">
      <w:start w:val="1"/>
      <w:numFmt w:val="decimal"/>
      <w:pStyle w:val="GPSL1CLAUSEHEADING"/>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32023292"/>
    <w:multiLevelType w:val="multilevel"/>
    <w:tmpl w:val="964C61BA"/>
    <w:styleLink w:val="CurrentList5"/>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880" w:hanging="1122"/>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45731817"/>
    <w:multiLevelType w:val="multilevel"/>
    <w:tmpl w:val="9CFACE72"/>
    <w:styleLink w:val="LFO1"/>
    <w:lvl w:ilvl="0">
      <w:start w:val="1"/>
      <w:numFmt w:val="decimal"/>
      <w:pStyle w:val="GPSL1SCHEDULEHeading"/>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dstrike w:val="0"/>
        <w:color w:val="000000"/>
        <w:position w:val="0"/>
        <w:sz w:val="24"/>
        <w:szCs w:val="24"/>
        <w:u w:val="none"/>
        <w:vertAlign w:val="baseline"/>
      </w:rPr>
    </w:lvl>
    <w:lvl w:ilvl="3">
      <w:start w:val="1"/>
      <w:numFmt w:val="lowerLetter"/>
      <w:lvlText w:val="%4)"/>
      <w:lvlJc w:val="left"/>
      <w:pPr>
        <w:ind w:left="2606" w:hanging="848"/>
      </w:pPr>
      <w:rPr>
        <w:b w:val="0"/>
        <w:i w:val="0"/>
        <w:smallCaps w:val="0"/>
        <w:strike w:val="0"/>
        <w:dstrike w:val="0"/>
        <w:color w:val="000000"/>
        <w:position w:val="0"/>
        <w:sz w:val="24"/>
        <w:szCs w:val="24"/>
        <w:u w:val="none"/>
        <w:vertAlign w:val="baseline"/>
      </w:rPr>
    </w:lvl>
    <w:lvl w:ilvl="4">
      <w:start w:val="1"/>
      <w:numFmt w:val="lowerRoman"/>
      <w:lvlText w:val="(%5)"/>
      <w:lvlJc w:val="left"/>
      <w:pPr>
        <w:ind w:left="2995" w:hanging="72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5CC46B0"/>
    <w:multiLevelType w:val="multilevel"/>
    <w:tmpl w:val="0EF2ABDE"/>
    <w:styleLink w:val="CurrentList3"/>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880" w:hanging="1122"/>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5E716F6F"/>
    <w:multiLevelType w:val="multilevel"/>
    <w:tmpl w:val="782CB940"/>
    <w:styleLink w:val="CurrentList2"/>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606" w:hanging="848"/>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5F395B42"/>
    <w:multiLevelType w:val="multilevel"/>
    <w:tmpl w:val="773C9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24415A"/>
    <w:multiLevelType w:val="multilevel"/>
    <w:tmpl w:val="DAB271F2"/>
    <w:styleLink w:val="WWOutlineListStyle"/>
    <w:lvl w:ilvl="0">
      <w:start w:val="1"/>
      <w:numFmt w:val="none"/>
      <w:lvlText w:val="%1"/>
      <w:lvlJc w:val="left"/>
    </w:lvl>
    <w:lvl w:ilvl="1">
      <w:start w:val="1"/>
      <w:numFmt w:val="decimal"/>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76C65BBF"/>
    <w:multiLevelType w:val="multilevel"/>
    <w:tmpl w:val="D2AA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0807314">
    <w:abstractNumId w:val="3"/>
  </w:num>
  <w:num w:numId="2" w16cid:durableId="1836920541">
    <w:abstractNumId w:val="9"/>
  </w:num>
  <w:num w:numId="3" w16cid:durableId="771360336">
    <w:abstractNumId w:val="0"/>
  </w:num>
  <w:num w:numId="4" w16cid:durableId="972103924">
    <w:abstractNumId w:val="7"/>
  </w:num>
  <w:num w:numId="5" w16cid:durableId="1897086163">
    <w:abstractNumId w:val="6"/>
  </w:num>
  <w:num w:numId="6" w16cid:durableId="85461086">
    <w:abstractNumId w:val="1"/>
  </w:num>
  <w:num w:numId="7" w16cid:durableId="1211721329">
    <w:abstractNumId w:val="4"/>
  </w:num>
  <w:num w:numId="8" w16cid:durableId="1346133245">
    <w:abstractNumId w:val="5"/>
  </w:num>
  <w:num w:numId="9" w16cid:durableId="1014302225">
    <w:abstractNumId w:val="2"/>
  </w:num>
  <w:num w:numId="10" w16cid:durableId="1639605729">
    <w:abstractNumId w:val="10"/>
  </w:num>
  <w:num w:numId="11" w16cid:durableId="212391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36"/>
    <w:rsid w:val="000C657C"/>
    <w:rsid w:val="00104BFD"/>
    <w:rsid w:val="00192B72"/>
    <w:rsid w:val="00216214"/>
    <w:rsid w:val="00312B1E"/>
    <w:rsid w:val="00315EAF"/>
    <w:rsid w:val="003F75ED"/>
    <w:rsid w:val="00462F83"/>
    <w:rsid w:val="00645923"/>
    <w:rsid w:val="00657A22"/>
    <w:rsid w:val="008D2C29"/>
    <w:rsid w:val="008E7C13"/>
    <w:rsid w:val="009B7D31"/>
    <w:rsid w:val="00A20A20"/>
    <w:rsid w:val="00BD59AE"/>
    <w:rsid w:val="00C15FD3"/>
    <w:rsid w:val="00C21F75"/>
    <w:rsid w:val="00C31436"/>
    <w:rsid w:val="00C404C3"/>
    <w:rsid w:val="00C706B1"/>
    <w:rsid w:val="00E21BAD"/>
    <w:rsid w:val="00E770AD"/>
    <w:rsid w:val="00FC1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DBF38"/>
  <w15:docId w15:val="{D7456586-B3C6-40BE-9715-C99374E00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pPr>
      <w:tabs>
        <w:tab w:val="left" w:pos="4320"/>
      </w:tabs>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pPr>
      <w:tabs>
        <w:tab w:val="left" w:pos="4320"/>
      </w:tabs>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pPr>
      <w:tabs>
        <w:tab w:val="left" w:pos="4320"/>
      </w:tabs>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keepNext/>
      <w:numPr>
        <w:ilvl w:val="1"/>
        <w:numId w:val="1"/>
      </w:numPr>
      <w:tabs>
        <w:tab w:val="left" w:pos="-720"/>
      </w:tabs>
      <w:spacing w:before="120" w:after="240" w:line="240" w:lineRule="auto"/>
      <w:outlineLvl w:val="1"/>
    </w:pPr>
    <w:rPr>
      <w:rFonts w:ascii="Arial Bold" w:eastAsia="STZhongsong" w:hAnsi="Arial Bold" w:cs="Arial"/>
      <w:b/>
      <w:sz w:val="24"/>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character" w:styleId="Emphasis">
    <w:name w:val="Emphasis"/>
    <w:basedOn w:val="DefaultParagraphFont"/>
    <w:rPr>
      <w:i/>
      <w:iCs/>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GPSL2numberedclause">
    <w:name w:val="GPS L2 numbered clause"/>
    <w:basedOn w:val="Normal"/>
    <w:pPr>
      <w:tabs>
        <w:tab w:val="left" w:pos="227"/>
      </w:tabs>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pPr>
      <w:tabs>
        <w:tab w:val="clear" w:pos="227"/>
        <w:tab w:val="left" w:pos="228"/>
        <w:tab w:val="left" w:pos="370"/>
      </w:tabs>
    </w:pPr>
  </w:style>
  <w:style w:type="paragraph" w:customStyle="1" w:styleId="GPSL4numberedclause">
    <w:name w:val="GPS L4 numbered clause"/>
    <w:basedOn w:val="GPSL3numberedclause"/>
    <w:pPr>
      <w:tabs>
        <w:tab w:val="clear" w:pos="228"/>
        <w:tab w:val="clear" w:pos="370"/>
      </w:tabs>
      <w:ind w:left="2607" w:hanging="850"/>
    </w:pPr>
    <w:rPr>
      <w:szCs w:val="20"/>
    </w:rPr>
  </w:style>
  <w:style w:type="character" w:customStyle="1" w:styleId="GPSL2numberedclauseChar1">
    <w:name w:val="GPS L2 numbered clause Char1"/>
    <w:rPr>
      <w:rFonts w:ascii="Arial" w:eastAsia="Times New Roman" w:hAnsi="Arial" w:cs="Arial"/>
      <w:sz w:val="24"/>
      <w:lang w:eastAsia="zh-CN"/>
    </w:rPr>
  </w:style>
  <w:style w:type="character" w:customStyle="1" w:styleId="GPSL3numberedclauseChar">
    <w:name w:val="GPS L3 numbered clause Char"/>
    <w:rPr>
      <w:rFonts w:ascii="Arial" w:eastAsia="Times New Roman" w:hAnsi="Arial" w:cs="Arial"/>
      <w:sz w:val="24"/>
      <w:lang w:eastAsia="zh-CN"/>
    </w:rPr>
  </w:style>
  <w:style w:type="character" w:customStyle="1" w:styleId="GPSL4numberedclauseChar">
    <w:name w:val="GPS L4 numbered clause Char"/>
    <w:rPr>
      <w:rFonts w:ascii="Arial" w:eastAsia="Times New Roman" w:hAnsi="Arial" w:cs="Arial"/>
      <w:sz w:val="24"/>
      <w:szCs w:val="20"/>
      <w:lang w:eastAsia="zh-CN"/>
    </w:rPr>
  </w:style>
  <w:style w:type="paragraph" w:customStyle="1" w:styleId="GPSL5numberedclause">
    <w:name w:val="GPS L5 numbered clause"/>
    <w:basedOn w:val="GPSL4numberedclause"/>
    <w:pPr>
      <w:tabs>
        <w:tab w:val="left" w:pos="360"/>
        <w:tab w:val="left" w:pos="3402"/>
      </w:tabs>
      <w:ind w:left="3402" w:hanging="567"/>
    </w:pPr>
  </w:style>
  <w:style w:type="paragraph" w:customStyle="1" w:styleId="GPSL2Indent">
    <w:name w:val="GPS L2 Indent"/>
    <w:basedOn w:val="GPSL2numberedclause"/>
    <w:pPr>
      <w:tabs>
        <w:tab w:val="clear" w:pos="227"/>
        <w:tab w:val="left" w:pos="709"/>
        <w:tab w:val="left" w:pos="2127"/>
      </w:tabs>
      <w:ind w:left="709"/>
    </w:pPr>
  </w:style>
  <w:style w:type="paragraph" w:customStyle="1" w:styleId="GPSL6numbered">
    <w:name w:val="GPS L6 numbered"/>
    <w:basedOn w:val="GPSL5numberedclause"/>
    <w:pPr>
      <w:tabs>
        <w:tab w:val="left" w:pos="4253"/>
      </w:tabs>
      <w:ind w:left="4253" w:hanging="709"/>
    </w:pPr>
  </w:style>
  <w:style w:type="character" w:customStyle="1" w:styleId="GPSL2IndentChar">
    <w:name w:val="GPS L2 Indent Char"/>
    <w:rPr>
      <w:rFonts w:ascii="Calibri" w:eastAsia="Times New Roman" w:hAnsi="Calibri" w:cs="Arial"/>
      <w:lang w:eastAsia="zh-CN"/>
    </w:rPr>
  </w:style>
  <w:style w:type="paragraph" w:customStyle="1" w:styleId="GPSDefinitionTerm">
    <w:name w:val="GPS Definition Term"/>
    <w:basedOn w:val="Normal"/>
    <w:pPr>
      <w:overflowPunct w:val="0"/>
      <w:autoSpaceDE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pPr>
      <w:tabs>
        <w:tab w:val="left" w:pos="-369"/>
      </w:tabs>
      <w:overflowPunct w:val="0"/>
      <w:autoSpaceDE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pPr>
      <w:tabs>
        <w:tab w:val="clear" w:pos="-369"/>
        <w:tab w:val="left" w:pos="-763"/>
      </w:tabs>
      <w:ind w:hanging="545"/>
    </w:pPr>
  </w:style>
  <w:style w:type="character" w:customStyle="1" w:styleId="GPSDefinitionL2Char">
    <w:name w:val="GPS Definition L2 Char"/>
    <w:rPr>
      <w:rFonts w:ascii="Arial" w:eastAsia="Times New Roman" w:hAnsi="Arial" w:cs="Arial"/>
    </w:rPr>
  </w:style>
  <w:style w:type="paragraph" w:customStyle="1" w:styleId="GPSDefinitionL3">
    <w:name w:val="GPS Definition L3"/>
    <w:basedOn w:val="GPSDefinitionL2"/>
    <w:pPr>
      <w:tabs>
        <w:tab w:val="clear" w:pos="-763"/>
        <w:tab w:val="left" w:pos="-1613"/>
        <w:tab w:val="left" w:pos="-1397"/>
      </w:tabs>
    </w:pPr>
  </w:style>
  <w:style w:type="paragraph" w:customStyle="1" w:styleId="GPSDefinitionL4">
    <w:name w:val="GPS Definition L4"/>
    <w:basedOn w:val="GPSDefinitionL3"/>
    <w:pPr>
      <w:numPr>
        <w:numId w:val="9"/>
      </w:numPr>
    </w:pPr>
    <w:rPr>
      <w:sz w:val="24"/>
    </w:rPr>
  </w:style>
  <w:style w:type="paragraph" w:customStyle="1" w:styleId="GPSL2Guidance">
    <w:name w:val="GPS L2 Guidance"/>
    <w:basedOn w:val="GPSL2numberedclause"/>
    <w:pPr>
      <w:tabs>
        <w:tab w:val="clear" w:pos="227"/>
        <w:tab w:val="left" w:pos="1134"/>
      </w:tabs>
      <w:ind w:left="1134"/>
    </w:pPr>
    <w:rPr>
      <w:b/>
      <w:i/>
    </w:rPr>
  </w:style>
  <w:style w:type="character" w:customStyle="1" w:styleId="GPSL2GuidanceChar">
    <w:name w:val="GPS L2 Guidance Char"/>
    <w:rPr>
      <w:rFonts w:ascii="Calibri" w:eastAsia="Times New Roman" w:hAnsi="Calibri" w:cs="Arial"/>
      <w:b/>
      <w:i/>
      <w:lang w:eastAsia="zh-CN"/>
    </w:rPr>
  </w:style>
  <w:style w:type="paragraph" w:customStyle="1" w:styleId="GPSL1SCHEDULEHeading">
    <w:name w:val="GPS L1 SCHEDULE Heading"/>
    <w:basedOn w:val="GPSL1CLAUSEHEADING"/>
    <w:autoRedefine/>
    <w:pPr>
      <w:numPr>
        <w:ilvl w:val="0"/>
        <w:numId w:val="8"/>
      </w:numPr>
      <w:tabs>
        <w:tab w:val="clear" w:pos="-720"/>
        <w:tab w:val="left" w:pos="-578"/>
      </w:tabs>
    </w:pPr>
    <w:rPr>
      <w:rFonts w:ascii="Arial" w:hAnsi="Arial"/>
      <w:caps/>
    </w:rPr>
  </w:style>
  <w:style w:type="character" w:customStyle="1" w:styleId="GPSL1SCHEDULEHeadingChar">
    <w:name w:val="GPS L1 SCHEDULE Heading Char"/>
    <w:rPr>
      <w:rFonts w:ascii="Arial" w:eastAsia="STZhongsong" w:hAnsi="Arial" w:cs="Arial"/>
      <w:b/>
      <w:sz w:val="24"/>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SchAnnexname">
    <w:name w:val="GPS Sch Annex name"/>
    <w:basedOn w:val="Normal"/>
    <w:pPr>
      <w:keepNext/>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Heading6Char5">
    <w:name w:val="Heading 6 Char5"/>
    <w:rPr>
      <w:rFonts w:ascii="Calibri" w:hAnsi="Calibri"/>
      <w:b/>
      <w:lang w:eastAsia="en-GB"/>
    </w:rPr>
  </w:style>
  <w:style w:type="paragraph" w:customStyle="1" w:styleId="MarginText">
    <w:name w:val="Margin Text"/>
    <w:basedOn w:val="Normal"/>
    <w:pPr>
      <w:keepNext/>
      <w:spacing w:before="240" w:after="120" w:line="240" w:lineRule="auto"/>
      <w:ind w:left="142"/>
      <w:jc w:val="both"/>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2NumberedBoldHeading">
    <w:name w:val="GPS L2 Numbered Bold Heading"/>
    <w:basedOn w:val="Normal"/>
    <w:pPr>
      <w:tabs>
        <w:tab w:val="left" w:pos="1134"/>
      </w:tabs>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pPr>
      <w:overflowPunct w:val="0"/>
      <w:autoSpaceDE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pPr>
      <w:tabs>
        <w:tab w:val="left" w:pos="720"/>
        <w:tab w:val="left" w:pos="1418"/>
      </w:tabs>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pPr>
      <w:tabs>
        <w:tab w:val="clear" w:pos="228"/>
        <w:tab w:val="clear" w:pos="370"/>
        <w:tab w:val="left" w:pos="1985"/>
      </w:tabs>
      <w:ind w:left="1985"/>
    </w:pPr>
    <w:rPr>
      <w:b/>
      <w:i/>
    </w:rPr>
  </w:style>
  <w:style w:type="paragraph" w:customStyle="1" w:styleId="GPSmacrorestart">
    <w:name w:val="GPS macro restart"/>
    <w:basedOn w:val="Normal"/>
    <w:pPr>
      <w:overflowPunct w:val="0"/>
      <w:autoSpaceDE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pPr>
      <w:spacing w:before="240"/>
      <w:ind w:firstLine="426"/>
    </w:pPr>
    <w:rPr>
      <w:rFonts w:ascii="Arial Bold" w:hAnsi="Arial Bold"/>
      <w:sz w:val="22"/>
    </w:rPr>
  </w:style>
  <w:style w:type="paragraph" w:customStyle="1" w:styleId="GPSL2Numbered">
    <w:name w:val="GPS L2 Numbered"/>
    <w:basedOn w:val="GPSL2NumberedBoldHeading"/>
    <w:pPr>
      <w:tabs>
        <w:tab w:val="left" w:pos="709"/>
      </w:tabs>
      <w:ind w:left="936" w:hanging="576"/>
    </w:pPr>
    <w:rPr>
      <w:b w:val="0"/>
    </w:rPr>
  </w:style>
  <w:style w:type="character" w:customStyle="1" w:styleId="GPSL2NumberedChar">
    <w:name w:val="GPS L2 Numbered Char"/>
    <w:rPr>
      <w:rFonts w:ascii="Calibri" w:eastAsia="Times New Roman" w:hAnsi="Calibri" w:cs="Arial"/>
      <w:lang w:eastAsia="zh-CN"/>
    </w:rPr>
  </w:style>
  <w:style w:type="paragraph" w:customStyle="1" w:styleId="GPSL4Guidance">
    <w:name w:val="GPS L4 Guidance"/>
    <w:basedOn w:val="GPSL3Guidance"/>
  </w:style>
  <w:style w:type="character" w:customStyle="1" w:styleId="GPSL4GuidanceChar">
    <w:name w:val="GPS L4 Guidance Char"/>
    <w:rPr>
      <w:rFonts w:ascii="Calibri" w:eastAsia="Times New Roman" w:hAnsi="Calibri" w:cs="Arial"/>
      <w:b/>
      <w:i/>
      <w:lang w:eastAsia="zh-CN"/>
    </w:rPr>
  </w:style>
  <w:style w:type="character" w:customStyle="1" w:styleId="GPSL1GuidanceChar">
    <w:name w:val="GPS L1 Guidance Char"/>
    <w:rPr>
      <w:rFonts w:ascii="Calibri" w:eastAsia="Times New Roman" w:hAnsi="Calibri" w:cs="Arial"/>
      <w:b/>
      <w:i/>
    </w:rPr>
  </w:style>
  <w:style w:type="character" w:customStyle="1" w:styleId="GPSL2GuidanceNumberedChar">
    <w:name w:val="GPS L2 Guidance Numbered Char"/>
    <w:rPr>
      <w:rFonts w:eastAsia="Times New Roman" w:cs="Arial"/>
      <w:b/>
      <w:i/>
      <w:lang w:eastAsia="zh-CN"/>
    </w:rPr>
  </w:style>
  <w:style w:type="character" w:customStyle="1" w:styleId="GPSL3GuidanceChar">
    <w:name w:val="GPS L3 Guidance Char"/>
    <w:rPr>
      <w:rFonts w:ascii="Calibri" w:eastAsia="Times New Roman" w:hAnsi="Calibri" w:cs="Arial"/>
      <w:b/>
      <w:i/>
      <w:lang w:eastAsia="zh-CN"/>
    </w:rPr>
  </w:style>
  <w:style w:type="character" w:customStyle="1" w:styleId="GPSSchPartChar">
    <w:name w:val="GPS Sch Part Char"/>
    <w:rPr>
      <w:rFonts w:ascii="Arial Bold" w:eastAsia="STZhongsong" w:hAnsi="Arial Bold" w:cs="Times New Roman"/>
      <w:b/>
      <w:caps/>
      <w:lang w:eastAsia="zh-CN"/>
    </w:rPr>
  </w:style>
  <w:style w:type="character" w:styleId="Hyperlink">
    <w:name w:val="Hyperlink"/>
    <w:basedOn w:val="DefaultParagraphFont"/>
    <w:rPr>
      <w:color w:val="0000FF"/>
      <w:u w:val="single"/>
    </w:rPr>
  </w:style>
  <w:style w:type="paragraph" w:customStyle="1" w:styleId="Normal1">
    <w:name w:val="Normal1"/>
    <w:pPr>
      <w:widowControl w:val="0"/>
      <w:suppressAutoHyphens/>
      <w:spacing w:after="80" w:line="240" w:lineRule="auto"/>
    </w:pPr>
    <w:rPr>
      <w:color w:val="000000"/>
    </w:rPr>
  </w:style>
  <w:style w:type="paragraph" w:styleId="Revision">
    <w:name w:val="Revision"/>
    <w:pPr>
      <w:suppressAutoHyphens/>
      <w:spacing w:after="0" w:line="240" w:lineRule="auto"/>
    </w:pPr>
  </w:style>
  <w:style w:type="character" w:customStyle="1" w:styleId="GPSL2NumberedBoldHeadingChar">
    <w:name w:val="GPS L2 Numbered Bold Heading Char"/>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basedOn w:val="DefaultParagraphFont"/>
    <w:rPr>
      <w:rFonts w:ascii="Times New Roman" w:eastAsia="STZhongsong" w:hAnsi="Times New Roman" w:cs="Times New Roman"/>
      <w:szCs w:val="20"/>
      <w:lang w:eastAsia="zh-CN"/>
    </w:rPr>
  </w:style>
  <w:style w:type="character" w:customStyle="1" w:styleId="Heading8Char">
    <w:name w:val="Heading 8 Char"/>
    <w:basedOn w:val="DefaultParagraphFont"/>
    <w:rPr>
      <w:rFonts w:ascii="Times New Roman" w:eastAsia="STZhongsong" w:hAnsi="Times New Roman" w:cs="Times New Roman"/>
      <w:szCs w:val="20"/>
      <w:lang w:eastAsia="zh-CN"/>
    </w:rPr>
  </w:style>
  <w:style w:type="character" w:customStyle="1" w:styleId="Heading9Char">
    <w:name w:val="Heading 9 Char"/>
    <w:basedOn w:val="DefaultParagraphFont"/>
    <w:rPr>
      <w:rFonts w:ascii="Times New Roman" w:eastAsia="STZhongsong" w:hAnsi="Times New Roman" w:cs="Times New Roman"/>
      <w:szCs w:val="20"/>
      <w:lang w:eastAsia="zh-CN"/>
    </w:rPr>
  </w:style>
  <w:style w:type="paragraph" w:customStyle="1" w:styleId="Table-Text">
    <w:name w:val="Table - Text"/>
    <w:basedOn w:val="Normal"/>
    <w:pPr>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spacing w:before="120" w:after="240" w:line="240" w:lineRule="auto"/>
      <w:ind w:left="360" w:hanging="360"/>
      <w:textAlignment w:val="baseline"/>
    </w:pPr>
    <w:rPr>
      <w:rFonts w:ascii="Arial" w:eastAsia="Times New Roman" w:hAnsi="Arial" w:cs="Arial"/>
      <w:sz w:val="24"/>
      <w:lang w:eastAsia="en-US"/>
    </w:rPr>
  </w:style>
  <w:style w:type="paragraph" w:customStyle="1" w:styleId="GPSL3NUMBERED">
    <w:name w:val="GPS L3 NUMBERED"/>
    <w:basedOn w:val="Normal"/>
    <w:pPr>
      <w:tabs>
        <w:tab w:val="left" w:pos="1757"/>
      </w:tabs>
      <w:overflowPunct w:val="0"/>
      <w:autoSpaceDE w:val="0"/>
      <w:spacing w:after="240" w:line="240" w:lineRule="auto"/>
      <w:ind w:left="1757" w:hanging="850"/>
      <w:textAlignment w:val="baseline"/>
    </w:pPr>
    <w:rPr>
      <w:rFonts w:ascii="Arial" w:eastAsia="Times New Roman" w:hAnsi="Arial" w:cs="Arial"/>
      <w:sz w:val="24"/>
      <w:lang w:eastAsia="en-US"/>
    </w:rPr>
  </w:style>
  <w:style w:type="paragraph" w:customStyle="1" w:styleId="GPSL4numbered">
    <w:name w:val="GPS L4 numbered"/>
    <w:basedOn w:val="Normal"/>
    <w:pPr>
      <w:tabs>
        <w:tab w:val="left" w:pos="2606"/>
      </w:tabs>
      <w:overflowPunct w:val="0"/>
      <w:autoSpaceDE w:val="0"/>
      <w:spacing w:after="240" w:line="240" w:lineRule="auto"/>
      <w:ind w:left="2606" w:hanging="849"/>
      <w:textAlignment w:val="baseline"/>
    </w:pPr>
    <w:rPr>
      <w:rFonts w:ascii="Arial" w:eastAsia="Times New Roman" w:hAnsi="Arial" w:cs="Arial"/>
      <w:sz w:val="24"/>
      <w:lang w:eastAsia="en-US"/>
    </w:rPr>
  </w:style>
  <w:style w:type="paragraph" w:customStyle="1" w:styleId="GPSL5NUMBERED">
    <w:name w:val="GPS L5 NUMBERED"/>
    <w:basedOn w:val="Normal"/>
    <w:pPr>
      <w:overflowPunct w:val="0"/>
      <w:autoSpaceDE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rPr>
      <w:color w:val="605E5C"/>
      <w:shd w:val="clear" w:color="auto" w:fill="E1DFDD"/>
    </w:rPr>
  </w:style>
  <w:style w:type="paragraph" w:customStyle="1" w:styleId="StdBodyText">
    <w:name w:val="Std Body Text"/>
    <w:basedOn w:val="Normal"/>
    <w:pPr>
      <w:spacing w:before="100"/>
    </w:pPr>
    <w:rPr>
      <w:rFonts w:eastAsia="SimSun" w:cs="Arial"/>
      <w:sz w:val="24"/>
      <w:szCs w:val="24"/>
    </w:rPr>
  </w:style>
  <w:style w:type="numbering" w:customStyle="1" w:styleId="WWOutlineListStyle">
    <w:name w:val="WW_OutlineListStyle"/>
    <w:basedOn w:val="NoList"/>
    <w:pPr>
      <w:numPr>
        <w:numId w:val="2"/>
      </w:numPr>
    </w:pPr>
  </w:style>
  <w:style w:type="numbering" w:customStyle="1" w:styleId="CurrentList1">
    <w:name w:val="Current List1"/>
    <w:basedOn w:val="NoList"/>
    <w:pPr>
      <w:numPr>
        <w:numId w:val="3"/>
      </w:numPr>
    </w:pPr>
  </w:style>
  <w:style w:type="numbering" w:customStyle="1" w:styleId="CurrentList2">
    <w:name w:val="Current List2"/>
    <w:basedOn w:val="NoList"/>
    <w:pPr>
      <w:numPr>
        <w:numId w:val="4"/>
      </w:numPr>
    </w:pPr>
  </w:style>
  <w:style w:type="numbering" w:customStyle="1" w:styleId="CurrentList3">
    <w:name w:val="Current List3"/>
    <w:basedOn w:val="NoList"/>
    <w:pPr>
      <w:numPr>
        <w:numId w:val="5"/>
      </w:numPr>
    </w:pPr>
  </w:style>
  <w:style w:type="numbering" w:customStyle="1" w:styleId="CurrentList4">
    <w:name w:val="Current List4"/>
    <w:basedOn w:val="NoList"/>
    <w:pPr>
      <w:numPr>
        <w:numId w:val="6"/>
      </w:numPr>
    </w:pPr>
  </w:style>
  <w:style w:type="numbering" w:customStyle="1" w:styleId="CurrentList5">
    <w:name w:val="Current List5"/>
    <w:basedOn w:val="NoList"/>
    <w:pPr>
      <w:numPr>
        <w:numId w:val="7"/>
      </w:numPr>
    </w:pPr>
  </w:style>
  <w:style w:type="numbering" w:customStyle="1" w:styleId="LFO1">
    <w:name w:val="LFO1"/>
    <w:basedOn w:val="NoList"/>
    <w:pPr>
      <w:numPr>
        <w:numId w:val="8"/>
      </w:numPr>
    </w:pPr>
  </w:style>
  <w:style w:type="numbering" w:customStyle="1" w:styleId="LFO2">
    <w:name w:val="LFO2"/>
    <w:basedOn w:val="NoList"/>
    <w:pPr>
      <w:numPr>
        <w:numId w:val="9"/>
      </w:numPr>
    </w:pPr>
  </w:style>
  <w:style w:type="character" w:styleId="Strong">
    <w:name w:val="Strong"/>
    <w:basedOn w:val="DefaultParagraphFont"/>
    <w:uiPriority w:val="22"/>
    <w:qFormat/>
    <w:rsid w:val="00E21BAD"/>
    <w:rPr>
      <w:b/>
      <w:bCs/>
    </w:rPr>
  </w:style>
  <w:style w:type="paragraph" w:styleId="NormalWeb">
    <w:name w:val="Normal (Web)"/>
    <w:basedOn w:val="Normal"/>
    <w:uiPriority w:val="99"/>
    <w:semiHidden/>
    <w:unhideWhenUsed/>
    <w:rsid w:val="00E21BAD"/>
    <w:pPr>
      <w:suppressAutoHyphens w:val="0"/>
      <w:autoSpaceDN/>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Kate Macey</dc:creator>
  <dc:description/>
  <cp:lastModifiedBy>Tom Davies</cp:lastModifiedBy>
  <cp:revision>9</cp:revision>
  <cp:lastPrinted>2025-12-08T16:43:00Z</cp:lastPrinted>
  <dcterms:created xsi:type="dcterms:W3CDTF">2025-11-26T14:27:00Z</dcterms:created>
  <dcterms:modified xsi:type="dcterms:W3CDTF">2026-07-27T09:45:00Z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92852295-1</vt:lpwstr>
  </property>
  <property fmtid="{D5CDD505-2E9C-101B-9397-08002B2CF9AE}" pid="3" name="ContentTypeId">
    <vt:lpwstr>0x0101000F376A802232854891E9A211292B0AF8</vt:lpwstr>
  </property>
  <property fmtid="{D5CDD505-2E9C-101B-9397-08002B2CF9AE}" pid="4" name="MSIP_Label_6d4a087b-5a0b-4f6f-ba02-34936a8c67e1_Enabled">
    <vt:lpwstr>true</vt:lpwstr>
  </property>
  <property fmtid="{D5CDD505-2E9C-101B-9397-08002B2CF9AE}" pid="5" name="MSIP_Label_6d4a087b-5a0b-4f6f-ba02-34936a8c67e1_SetDate">
    <vt:lpwstr>2025-10-02T14:58:44Z</vt:lpwstr>
  </property>
  <property fmtid="{D5CDD505-2E9C-101B-9397-08002B2CF9AE}" pid="6" name="MSIP_Label_6d4a087b-5a0b-4f6f-ba02-34936a8c67e1_Method">
    <vt:lpwstr>Privileged</vt:lpwstr>
  </property>
  <property fmtid="{D5CDD505-2E9C-101B-9397-08002B2CF9AE}" pid="7" name="MSIP_Label_6d4a087b-5a0b-4f6f-ba02-34936a8c67e1_Name">
    <vt:lpwstr>Confidential</vt:lpwstr>
  </property>
  <property fmtid="{D5CDD505-2E9C-101B-9397-08002B2CF9AE}" pid="8" name="MSIP_Label_6d4a087b-5a0b-4f6f-ba02-34936a8c67e1_SiteId">
    <vt:lpwstr>1f758329-8df9-4285-af1e-1f1e58d2d08b</vt:lpwstr>
  </property>
  <property fmtid="{D5CDD505-2E9C-101B-9397-08002B2CF9AE}" pid="9" name="MSIP_Label_6d4a087b-5a0b-4f6f-ba02-34936a8c67e1_ActionId">
    <vt:lpwstr>a8a037ff-a432-48ad-990f-cc9dc2cbd03d</vt:lpwstr>
  </property>
  <property fmtid="{D5CDD505-2E9C-101B-9397-08002B2CF9AE}" pid="10" name="MSIP_Label_6d4a087b-5a0b-4f6f-ba02-34936a8c67e1_ContentBits">
    <vt:lpwstr>0</vt:lpwstr>
  </property>
  <property fmtid="{D5CDD505-2E9C-101B-9397-08002B2CF9AE}" pid="11" name="MSIP_Label_6d4a087b-5a0b-4f6f-ba02-34936a8c67e1_Tag">
    <vt:lpwstr>10, 0, 1, 1</vt:lpwstr>
  </property>
</Properties>
</file>